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A" w:rsidRDefault="0064052A" w:rsidP="0064052A">
      <w:pPr>
        <w:ind w:firstLineChars="50" w:firstLine="220"/>
        <w:jc w:val="center"/>
        <w:rPr>
          <w:rFonts w:ascii="黑体" w:eastAsia="黑体" w:hAnsi="Calibri" w:cs="Times New Roman"/>
          <w:sz w:val="24"/>
        </w:rPr>
      </w:pPr>
      <w:proofErr w:type="gramStart"/>
      <w:r w:rsidRPr="0064052A">
        <w:rPr>
          <w:rFonts w:ascii="Calibri" w:eastAsia="方正小标宋简体" w:hAnsi="Calibri" w:cs="Times New Roman" w:hint="eastAsia"/>
          <w:kern w:val="0"/>
          <w:sz w:val="44"/>
          <w:szCs w:val="44"/>
        </w:rPr>
        <w:t>魏峰远</w:t>
      </w:r>
      <w:r>
        <w:rPr>
          <w:rFonts w:ascii="Calibri" w:eastAsia="方正小标宋简体" w:hAnsi="Calibri" w:cs="Times New Roman" w:hint="eastAsia"/>
          <w:kern w:val="0"/>
          <w:sz w:val="44"/>
          <w:szCs w:val="44"/>
        </w:rPr>
        <w:t>民主生活会整改台</w:t>
      </w:r>
      <w:proofErr w:type="gramEnd"/>
      <w:r>
        <w:rPr>
          <w:rFonts w:ascii="Calibri" w:eastAsia="方正小标宋简体" w:hAnsi="Calibri" w:cs="Times New Roman" w:hint="eastAsia"/>
          <w:kern w:val="0"/>
          <w:sz w:val="44"/>
          <w:szCs w:val="44"/>
        </w:rPr>
        <w:t>账</w:t>
      </w:r>
    </w:p>
    <w:p w:rsidR="00BF4428" w:rsidRPr="006E2B25" w:rsidRDefault="00BF4428" w:rsidP="0064052A">
      <w:pPr>
        <w:ind w:firstLineChars="50" w:firstLine="120"/>
        <w:jc w:val="left"/>
        <w:rPr>
          <w:rFonts w:ascii="黑体" w:eastAsia="黑体" w:hAnsi="Calibri" w:cs="Times New Roman"/>
          <w:sz w:val="24"/>
        </w:rPr>
      </w:pPr>
      <w:r w:rsidRPr="006E2B25">
        <w:rPr>
          <w:rFonts w:ascii="黑体" w:eastAsia="黑体" w:hAnsi="Calibri" w:cs="Times New Roman" w:hint="eastAsia"/>
          <w:sz w:val="24"/>
        </w:rPr>
        <w:t xml:space="preserve">                                                                      </w:t>
      </w:r>
      <w:r w:rsidR="0064052A">
        <w:rPr>
          <w:rFonts w:ascii="黑体" w:eastAsia="黑体" w:hAnsi="Calibri" w:cs="Times New Roman" w:hint="eastAsia"/>
          <w:sz w:val="24"/>
        </w:rPr>
        <w:t xml:space="preserve">             </w:t>
      </w:r>
      <w:r w:rsidRPr="006E2B25">
        <w:rPr>
          <w:rFonts w:ascii="黑体" w:eastAsia="黑体" w:hAnsi="Calibri" w:cs="Times New Roman" w:hint="eastAsia"/>
          <w:sz w:val="24"/>
        </w:rPr>
        <w:t xml:space="preserve">    报送时间：201</w:t>
      </w:r>
      <w:r w:rsidR="005B3704">
        <w:rPr>
          <w:rFonts w:ascii="黑体" w:eastAsia="黑体" w:hAnsi="Calibri" w:cs="Times New Roman" w:hint="eastAsia"/>
          <w:sz w:val="24"/>
        </w:rPr>
        <w:t>8</w:t>
      </w:r>
      <w:r w:rsidRPr="006E2B25">
        <w:rPr>
          <w:rFonts w:ascii="黑体" w:eastAsia="黑体" w:hAnsi="Calibri" w:cs="Times New Roman" w:hint="eastAsia"/>
          <w:sz w:val="24"/>
        </w:rPr>
        <w:t>年</w:t>
      </w:r>
      <w:r w:rsidR="008F46C6">
        <w:rPr>
          <w:rFonts w:ascii="黑体" w:eastAsia="黑体" w:hAnsi="Calibri" w:cs="Times New Roman" w:hint="eastAsia"/>
          <w:sz w:val="24"/>
        </w:rPr>
        <w:t>9</w:t>
      </w:r>
      <w:r w:rsidRPr="006E2B25">
        <w:rPr>
          <w:rFonts w:ascii="黑体" w:eastAsia="黑体" w:hAnsi="Calibri" w:cs="Times New Roman" w:hint="eastAsia"/>
          <w:sz w:val="24"/>
        </w:rPr>
        <w:t>月</w:t>
      </w:r>
      <w:r w:rsidR="003A56E0">
        <w:rPr>
          <w:rFonts w:ascii="黑体" w:eastAsia="黑体" w:hAnsi="Calibri" w:cs="Times New Roman" w:hint="eastAsia"/>
          <w:sz w:val="24"/>
        </w:rPr>
        <w:t>1</w:t>
      </w:r>
      <w:r w:rsidR="00862D84">
        <w:rPr>
          <w:rFonts w:ascii="黑体" w:eastAsia="黑体" w:hAnsi="Calibri" w:cs="Times New Roman" w:hint="eastAsia"/>
          <w:sz w:val="24"/>
        </w:rPr>
        <w:t>2</w:t>
      </w:r>
      <w:r w:rsidR="003A56E0">
        <w:rPr>
          <w:rFonts w:ascii="黑体" w:eastAsia="黑体" w:hAnsi="Calibri" w:cs="Times New Roman" w:hint="eastAsia"/>
          <w:sz w:val="24"/>
        </w:rPr>
        <w:t>日</w:t>
      </w:r>
    </w:p>
    <w:tbl>
      <w:tblPr>
        <w:tblW w:w="13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644"/>
        <w:gridCol w:w="5623"/>
        <w:gridCol w:w="1698"/>
        <w:gridCol w:w="1001"/>
      </w:tblGrid>
      <w:tr w:rsidR="00FD24FF" w:rsidRPr="006E2B25" w:rsidTr="00FD24FF">
        <w:trPr>
          <w:trHeight w:val="643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序号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>
              <w:rPr>
                <w:rFonts w:ascii="Calibri" w:eastAsia="黑体" w:hAnsi="Calibri" w:cs="Times New Roman" w:hint="eastAsia"/>
                <w:sz w:val="24"/>
              </w:rPr>
              <w:t>整改问题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整改措施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整改</w:t>
            </w:r>
            <w:r w:rsidRPr="006E2B25">
              <w:rPr>
                <w:rFonts w:ascii="Calibri" w:eastAsia="黑体" w:hAnsi="Calibri" w:cs="Times New Roman"/>
                <w:sz w:val="24"/>
              </w:rPr>
              <w:t>时限</w:t>
            </w:r>
          </w:p>
        </w:tc>
        <w:tc>
          <w:tcPr>
            <w:tcW w:w="1001" w:type="dxa"/>
            <w:vAlign w:val="center"/>
          </w:tcPr>
          <w:p w:rsidR="00FD24FF" w:rsidRPr="006E2B25" w:rsidRDefault="00FD24FF" w:rsidP="007A28E0">
            <w:pPr>
              <w:jc w:val="center"/>
              <w:rPr>
                <w:rFonts w:ascii="Calibri" w:eastAsia="黑体" w:hAnsi="Calibri" w:cs="Times New Roman"/>
                <w:sz w:val="24"/>
              </w:rPr>
            </w:pPr>
            <w:r w:rsidRPr="006E2B25">
              <w:rPr>
                <w:rFonts w:ascii="Calibri" w:eastAsia="黑体" w:hAnsi="Calibri" w:cs="Times New Roman" w:hint="eastAsia"/>
                <w:sz w:val="24"/>
              </w:rPr>
              <w:t>备注</w:t>
            </w:r>
          </w:p>
        </w:tc>
      </w:tr>
      <w:tr w:rsidR="001E439E" w:rsidRPr="006E2B25" w:rsidTr="001E439E">
        <w:trPr>
          <w:trHeight w:val="1625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1E439E" w:rsidRPr="001E439E" w:rsidRDefault="001E439E" w:rsidP="00E62D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39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E439E" w:rsidRPr="001E439E" w:rsidRDefault="00E91723" w:rsidP="003A56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F46C6">
              <w:rPr>
                <w:rFonts w:ascii="仿宋_GB2312" w:eastAsia="仿宋_GB2312" w:hint="eastAsia"/>
                <w:sz w:val="24"/>
                <w:szCs w:val="24"/>
              </w:rPr>
              <w:t>对习近平新时代中国特色社会主义思想学习不深入、不系统，四个意识</w:t>
            </w:r>
            <w:r w:rsidR="008F46C6" w:rsidRPr="008F46C6">
              <w:rPr>
                <w:rFonts w:ascii="仿宋_GB2312" w:eastAsia="仿宋_GB2312" w:hint="eastAsia"/>
                <w:sz w:val="24"/>
                <w:szCs w:val="24"/>
              </w:rPr>
              <w:t>特别是政治意识淡薄</w:t>
            </w:r>
            <w:r w:rsidRPr="008F46C6">
              <w:rPr>
                <w:rFonts w:ascii="仿宋_GB2312" w:eastAsia="仿宋_GB2312" w:hint="eastAsia"/>
                <w:sz w:val="24"/>
                <w:szCs w:val="24"/>
              </w:rPr>
              <w:t>，对圈子文化认识肤浅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1E439E" w:rsidRPr="001E439E" w:rsidRDefault="00E91723" w:rsidP="008F4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F46C6">
              <w:rPr>
                <w:rFonts w:ascii="仿宋_GB2312" w:eastAsia="仿宋_GB2312" w:hint="eastAsia"/>
                <w:sz w:val="24"/>
                <w:szCs w:val="24"/>
              </w:rPr>
              <w:t>以更加积极主动的态度，持续深入学</w:t>
            </w:r>
            <w:proofErr w:type="gramStart"/>
            <w:r w:rsidRPr="008F46C6">
              <w:rPr>
                <w:rFonts w:ascii="仿宋_GB2312" w:eastAsia="仿宋_GB2312" w:hint="eastAsia"/>
                <w:sz w:val="24"/>
                <w:szCs w:val="24"/>
              </w:rPr>
              <w:t>习习近</w:t>
            </w:r>
            <w:proofErr w:type="gramEnd"/>
            <w:r w:rsidRPr="008F46C6">
              <w:rPr>
                <w:rFonts w:ascii="仿宋_GB2312" w:eastAsia="仿宋_GB2312" w:hint="eastAsia"/>
                <w:sz w:val="24"/>
                <w:szCs w:val="24"/>
              </w:rPr>
              <w:t>平新时代中国特色社会主义思想和党的十九大精神，力求在真学深学入脑入心上取得实实在在的效果，并学以致用，不断提高</w:t>
            </w:r>
            <w:proofErr w:type="gramStart"/>
            <w:r w:rsidRPr="008F46C6">
              <w:rPr>
                <w:rFonts w:ascii="仿宋_GB2312" w:eastAsia="仿宋_GB2312" w:hint="eastAsia"/>
                <w:sz w:val="24"/>
                <w:szCs w:val="24"/>
              </w:rPr>
              <w:t>履</w:t>
            </w:r>
            <w:proofErr w:type="gramEnd"/>
            <w:r w:rsidRPr="008F46C6">
              <w:rPr>
                <w:rFonts w:ascii="仿宋_GB2312" w:eastAsia="仿宋_GB2312" w:hint="eastAsia"/>
                <w:sz w:val="24"/>
                <w:szCs w:val="24"/>
              </w:rPr>
              <w:t>职能力和水平。树牢“四个意识”，增强“四个自信”，坚定理想信念，落实“两个坚决拥护”，不断增强政治敏锐性和政治鉴别力，做到思想上清醒，政治上坚定，自觉同党中央保持高度一致。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439E" w:rsidRPr="001E439E" w:rsidRDefault="001E439E" w:rsidP="00E62D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E439E">
              <w:rPr>
                <w:rFonts w:ascii="仿宋_GB2312" w:eastAsia="仿宋_GB2312" w:hint="eastAsia"/>
                <w:sz w:val="24"/>
                <w:szCs w:val="24"/>
              </w:rPr>
              <w:t>长期坚持</w:t>
            </w:r>
          </w:p>
        </w:tc>
        <w:tc>
          <w:tcPr>
            <w:tcW w:w="1001" w:type="dxa"/>
            <w:vAlign w:val="center"/>
          </w:tcPr>
          <w:p w:rsidR="001E439E" w:rsidRPr="006E2B25" w:rsidRDefault="001E439E" w:rsidP="007A28E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39E" w:rsidRPr="006E2B25" w:rsidTr="001E439E">
        <w:trPr>
          <w:trHeight w:val="713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1E439E" w:rsidRPr="001E439E" w:rsidRDefault="001E439E" w:rsidP="00E62D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39E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E439E" w:rsidRPr="001E439E" w:rsidRDefault="008F46C6" w:rsidP="003A56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缺乏主动服务，</w:t>
            </w:r>
            <w:r w:rsidR="00E91723">
              <w:rPr>
                <w:rFonts w:ascii="仿宋_GB2312" w:eastAsia="仿宋_GB2312" w:hint="eastAsia"/>
                <w:sz w:val="24"/>
                <w:szCs w:val="24"/>
              </w:rPr>
              <w:t>宗旨意识淡薄，</w:t>
            </w:r>
            <w:r w:rsidRPr="003A56E0">
              <w:rPr>
                <w:rFonts w:ascii="仿宋_GB2312" w:eastAsia="仿宋_GB2312" w:hint="eastAsia"/>
                <w:sz w:val="24"/>
                <w:szCs w:val="24"/>
              </w:rPr>
              <w:t>深入基层联系教授少</w:t>
            </w:r>
            <w:r w:rsidR="00DB627B" w:rsidRPr="003A56E0">
              <w:rPr>
                <w:rFonts w:ascii="仿宋_GB2312" w:eastAsia="仿宋_GB2312" w:hint="eastAsia"/>
                <w:sz w:val="24"/>
                <w:szCs w:val="24"/>
              </w:rPr>
              <w:t>，一岗双</w:t>
            </w:r>
            <w:proofErr w:type="gramStart"/>
            <w:r w:rsidR="00DB627B" w:rsidRPr="003A56E0">
              <w:rPr>
                <w:rFonts w:ascii="仿宋_GB2312" w:eastAsia="仿宋_GB2312" w:hint="eastAsia"/>
                <w:sz w:val="24"/>
                <w:szCs w:val="24"/>
              </w:rPr>
              <w:t>责落实</w:t>
            </w:r>
            <w:proofErr w:type="gramEnd"/>
            <w:r w:rsidR="00DB627B" w:rsidRPr="003A56E0">
              <w:rPr>
                <w:rFonts w:ascii="仿宋_GB2312" w:eastAsia="仿宋_GB2312" w:hint="eastAsia"/>
                <w:sz w:val="24"/>
                <w:szCs w:val="24"/>
              </w:rPr>
              <w:t>不充分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1E439E" w:rsidRPr="00E91723" w:rsidRDefault="00E91723" w:rsidP="00862D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A56E0">
              <w:rPr>
                <w:rFonts w:ascii="仿宋_GB2312" w:eastAsia="仿宋_GB2312" w:hint="eastAsia"/>
                <w:sz w:val="24"/>
                <w:szCs w:val="24"/>
              </w:rPr>
              <w:t>带着问题和思考深入系室开展调查研究，把听取</w:t>
            </w:r>
            <w:hyperlink r:id="rId7" w:history="1">
              <w:r w:rsidRPr="003A56E0">
                <w:rPr>
                  <w:rFonts w:ascii="仿宋_GB2312" w:eastAsia="仿宋_GB2312" w:hint="eastAsia"/>
                  <w:sz w:val="24"/>
                  <w:szCs w:val="24"/>
                </w:rPr>
                <w:t>汇报</w:t>
              </w:r>
            </w:hyperlink>
            <w:proofErr w:type="gramStart"/>
            <w:r w:rsidRPr="003A56E0">
              <w:rPr>
                <w:rFonts w:ascii="仿宋_GB2312" w:eastAsia="仿宋_GB2312" w:hint="eastAsia"/>
                <w:sz w:val="24"/>
                <w:szCs w:val="24"/>
              </w:rPr>
              <w:t>与亲自</w:t>
            </w:r>
            <w:proofErr w:type="gramEnd"/>
            <w:hyperlink r:id="rId8" w:history="1">
              <w:r w:rsidRPr="003A56E0">
                <w:rPr>
                  <w:rFonts w:ascii="仿宋_GB2312" w:eastAsia="仿宋_GB2312" w:hint="eastAsia"/>
                  <w:sz w:val="24"/>
                  <w:szCs w:val="24"/>
                </w:rPr>
                <w:t>调研</w:t>
              </w:r>
            </w:hyperlink>
            <w:r w:rsidRPr="003A56E0">
              <w:rPr>
                <w:rFonts w:ascii="仿宋_GB2312" w:eastAsia="仿宋_GB2312" w:hint="eastAsia"/>
                <w:sz w:val="24"/>
                <w:szCs w:val="24"/>
              </w:rPr>
              <w:t>有机结合，时刻掌握师生的内心真实想法，</w:t>
            </w:r>
            <w:r w:rsidR="00DB627B" w:rsidRPr="003A56E0">
              <w:rPr>
                <w:rFonts w:ascii="仿宋_GB2312" w:eastAsia="仿宋_GB2312" w:hint="eastAsia"/>
                <w:sz w:val="24"/>
                <w:szCs w:val="24"/>
              </w:rPr>
              <w:t>及时回应师生呼声和需求，</w:t>
            </w:r>
            <w:r w:rsidRPr="003A56E0">
              <w:rPr>
                <w:rFonts w:ascii="仿宋_GB2312" w:eastAsia="仿宋_GB2312" w:hint="eastAsia"/>
                <w:sz w:val="24"/>
                <w:szCs w:val="24"/>
              </w:rPr>
              <w:t>脚踏实地为师生办实事，解难</w:t>
            </w:r>
            <w:r w:rsidR="00DB627B" w:rsidRPr="003A56E0">
              <w:rPr>
                <w:rFonts w:ascii="仿宋_GB2312" w:eastAsia="仿宋_GB2312" w:hint="eastAsia"/>
                <w:sz w:val="24"/>
                <w:szCs w:val="24"/>
              </w:rPr>
              <w:t>题。</w:t>
            </w:r>
            <w:r w:rsidRPr="003A56E0">
              <w:rPr>
                <w:rFonts w:ascii="仿宋_GB2312" w:eastAsia="仿宋_GB2312" w:hint="eastAsia"/>
                <w:sz w:val="24"/>
                <w:szCs w:val="24"/>
              </w:rPr>
              <w:t>落实全面从严治党主体责任，强化廉洁教育，严格落实中央八项规定精神，驰而不息纠正四</w:t>
            </w:r>
            <w:bookmarkStart w:id="0" w:name="_GoBack"/>
            <w:bookmarkEnd w:id="0"/>
            <w:r w:rsidRPr="003A56E0">
              <w:rPr>
                <w:rFonts w:ascii="仿宋_GB2312" w:eastAsia="仿宋_GB2312" w:hint="eastAsia"/>
                <w:sz w:val="24"/>
                <w:szCs w:val="24"/>
              </w:rPr>
              <w:t>风，自觉地接受党和群众的批评和监督。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439E" w:rsidRPr="001E439E" w:rsidRDefault="008F46C6" w:rsidP="006972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长期坚持</w:t>
            </w:r>
          </w:p>
        </w:tc>
        <w:tc>
          <w:tcPr>
            <w:tcW w:w="1001" w:type="dxa"/>
            <w:vAlign w:val="center"/>
          </w:tcPr>
          <w:p w:rsidR="001E439E" w:rsidRPr="006E2B25" w:rsidRDefault="001E439E" w:rsidP="007A28E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39E" w:rsidRPr="006E2B25" w:rsidTr="001E439E">
        <w:trPr>
          <w:trHeight w:val="823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1E439E" w:rsidRPr="001E439E" w:rsidRDefault="001E439E" w:rsidP="00E62D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E439E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E439E" w:rsidRPr="001E439E" w:rsidRDefault="008F46C6" w:rsidP="003A56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精神状态不饱满，责任担当意识不足</w:t>
            </w:r>
            <w:r w:rsidR="00DB627B">
              <w:rPr>
                <w:rFonts w:ascii="仿宋_GB2312" w:eastAsia="仿宋_GB2312" w:hint="eastAsia"/>
                <w:sz w:val="24"/>
                <w:szCs w:val="24"/>
              </w:rPr>
              <w:t>，工作安排后</w:t>
            </w:r>
            <w:r w:rsidR="00DB627B" w:rsidRPr="00DB627B">
              <w:rPr>
                <w:rFonts w:ascii="仿宋_GB2312" w:eastAsia="仿宋_GB2312" w:hint="eastAsia"/>
                <w:sz w:val="24"/>
                <w:szCs w:val="24"/>
              </w:rPr>
              <w:t>深度参与不够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1E439E" w:rsidRPr="001E439E" w:rsidRDefault="00E91723" w:rsidP="00DB627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91723">
              <w:rPr>
                <w:rFonts w:ascii="仿宋_GB2312" w:eastAsia="仿宋_GB2312" w:hint="eastAsia"/>
                <w:sz w:val="24"/>
                <w:szCs w:val="24"/>
              </w:rPr>
              <w:t>振奋自身精神状态，时刻保持工作主动性和奋发进取的精神状态，</w:t>
            </w:r>
            <w:r w:rsidR="00DB627B" w:rsidRPr="00E91723">
              <w:rPr>
                <w:rFonts w:ascii="仿宋_GB2312" w:eastAsia="仿宋_GB2312" w:hint="eastAsia"/>
                <w:sz w:val="24"/>
                <w:szCs w:val="24"/>
              </w:rPr>
              <w:t>提高干事创业能力</w:t>
            </w:r>
            <w:r w:rsidRPr="00E9172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DB627B" w:rsidRPr="00E91723">
              <w:rPr>
                <w:rFonts w:ascii="仿宋_GB2312" w:eastAsia="仿宋_GB2312" w:hint="eastAsia"/>
                <w:sz w:val="24"/>
                <w:szCs w:val="24"/>
              </w:rPr>
              <w:t>培养敢于担当责任意识，</w:t>
            </w:r>
            <w:r w:rsidRPr="00E91723">
              <w:rPr>
                <w:rFonts w:ascii="仿宋_GB2312" w:eastAsia="仿宋_GB2312" w:hint="eastAsia"/>
                <w:sz w:val="24"/>
                <w:szCs w:val="24"/>
              </w:rPr>
              <w:t>增强解决处理复杂问题能力，在规矩纪律框架内进一步解放思想，开拓进取，用足用活政策和机遇，将不断创新作为</w:t>
            </w:r>
            <w:r w:rsidR="00DB627B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Pr="00E91723">
              <w:rPr>
                <w:rFonts w:ascii="仿宋_GB2312" w:eastAsia="仿宋_GB2312" w:hint="eastAsia"/>
                <w:sz w:val="24"/>
                <w:szCs w:val="24"/>
              </w:rPr>
              <w:t>工作的着力点，科学谋划学院发展，扎实推进学院各项工作。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E439E" w:rsidRPr="001E439E" w:rsidRDefault="008F46C6" w:rsidP="00DB62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DB627B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DB627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01" w:type="dxa"/>
            <w:vAlign w:val="center"/>
          </w:tcPr>
          <w:p w:rsidR="001E439E" w:rsidRPr="006E2B25" w:rsidRDefault="001E439E" w:rsidP="007A28E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1E439E" w:rsidRPr="006E2B25" w:rsidTr="001E439E">
        <w:trPr>
          <w:trHeight w:val="862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1E439E" w:rsidRPr="001E439E" w:rsidRDefault="00E91723" w:rsidP="00E62D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E439E" w:rsidRPr="001E439E" w:rsidRDefault="00E91723" w:rsidP="00606C4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对党建工作支持力度不充分，</w:t>
            </w:r>
            <w:r w:rsidR="008F46C6">
              <w:rPr>
                <w:rFonts w:ascii="仿宋_GB2312" w:eastAsia="仿宋_GB2312" w:hint="eastAsia"/>
                <w:sz w:val="24"/>
                <w:szCs w:val="24"/>
              </w:rPr>
              <w:t>双重组织生活没能全部落实，对校园意识形态领域问题重要性、复杂性</w:t>
            </w:r>
            <w:r w:rsidR="00606C4C">
              <w:rPr>
                <w:rFonts w:ascii="仿宋_GB2312" w:eastAsia="仿宋_GB2312" w:hint="eastAsia"/>
                <w:sz w:val="24"/>
                <w:szCs w:val="24"/>
              </w:rPr>
              <w:t>和危险</w:t>
            </w:r>
            <w:r w:rsidR="003A56E0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8F46C6">
              <w:rPr>
                <w:rFonts w:ascii="仿宋_GB2312" w:eastAsia="仿宋_GB2312" w:hint="eastAsia"/>
                <w:sz w:val="24"/>
                <w:szCs w:val="24"/>
              </w:rPr>
              <w:t>认识不足</w:t>
            </w:r>
          </w:p>
        </w:tc>
        <w:tc>
          <w:tcPr>
            <w:tcW w:w="5623" w:type="dxa"/>
            <w:shd w:val="clear" w:color="auto" w:fill="auto"/>
            <w:vAlign w:val="center"/>
          </w:tcPr>
          <w:p w:rsidR="008F46C6" w:rsidRPr="00DB627B" w:rsidRDefault="008F46C6" w:rsidP="00DB627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B627B">
              <w:rPr>
                <w:rFonts w:ascii="仿宋_GB2312" w:eastAsia="仿宋_GB2312" w:hint="eastAsia"/>
                <w:sz w:val="24"/>
                <w:szCs w:val="24"/>
              </w:rPr>
              <w:t>彻底扭转思想上存在的党建工作更多是学院党委工作的片面认识，</w:t>
            </w:r>
            <w:r w:rsidR="00DB627B" w:rsidRPr="00DB627B">
              <w:rPr>
                <w:rFonts w:ascii="仿宋_GB2312" w:eastAsia="仿宋_GB2312" w:hint="eastAsia"/>
                <w:sz w:val="24"/>
                <w:szCs w:val="24"/>
              </w:rPr>
              <w:t>按时参加系里组织的支部民主生活会，充分利用</w:t>
            </w:r>
            <w:r w:rsidRPr="00DB627B">
              <w:rPr>
                <w:rFonts w:ascii="仿宋_GB2312" w:eastAsia="仿宋_GB2312" w:hint="eastAsia"/>
                <w:sz w:val="24"/>
                <w:szCs w:val="24"/>
              </w:rPr>
              <w:t>课程思政、课堂育人</w:t>
            </w:r>
            <w:r w:rsidR="00DB627B" w:rsidRPr="00DB627B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DB627B">
              <w:rPr>
                <w:rFonts w:ascii="仿宋_GB2312" w:eastAsia="仿宋_GB2312" w:hint="eastAsia"/>
                <w:sz w:val="24"/>
                <w:szCs w:val="24"/>
              </w:rPr>
              <w:t>新媒体等宣传教育阵地</w:t>
            </w:r>
            <w:r w:rsidR="00DB627B" w:rsidRPr="00DB627B">
              <w:rPr>
                <w:rFonts w:ascii="仿宋_GB2312" w:eastAsia="仿宋_GB2312" w:hint="eastAsia"/>
                <w:sz w:val="24"/>
                <w:szCs w:val="24"/>
              </w:rPr>
              <w:t>，加强意识形态领域宣传教育。</w:t>
            </w:r>
          </w:p>
          <w:p w:rsidR="001E439E" w:rsidRPr="008F46C6" w:rsidRDefault="001E439E" w:rsidP="00DB627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E439E" w:rsidRPr="008F46C6" w:rsidRDefault="008F46C6" w:rsidP="00E62D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2018.12</w:t>
            </w:r>
          </w:p>
        </w:tc>
        <w:tc>
          <w:tcPr>
            <w:tcW w:w="1001" w:type="dxa"/>
            <w:vAlign w:val="center"/>
          </w:tcPr>
          <w:p w:rsidR="001E439E" w:rsidRPr="006E2B25" w:rsidRDefault="001E439E" w:rsidP="007A28E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160878" w:rsidRDefault="00160878"/>
    <w:sectPr w:rsidR="00160878" w:rsidSect="00797D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8C" w:rsidRDefault="0022138C" w:rsidP="00797D01">
      <w:r>
        <w:separator/>
      </w:r>
    </w:p>
  </w:endnote>
  <w:endnote w:type="continuationSeparator" w:id="0">
    <w:p w:rsidR="0022138C" w:rsidRDefault="0022138C" w:rsidP="0079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8C" w:rsidRDefault="0022138C" w:rsidP="00797D01">
      <w:r>
        <w:separator/>
      </w:r>
    </w:p>
  </w:footnote>
  <w:footnote w:type="continuationSeparator" w:id="0">
    <w:p w:rsidR="0022138C" w:rsidRDefault="0022138C" w:rsidP="0079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D01"/>
    <w:rsid w:val="00160878"/>
    <w:rsid w:val="001E439E"/>
    <w:rsid w:val="0022138C"/>
    <w:rsid w:val="00363EBD"/>
    <w:rsid w:val="003A56E0"/>
    <w:rsid w:val="003A7115"/>
    <w:rsid w:val="005167AF"/>
    <w:rsid w:val="00517A4B"/>
    <w:rsid w:val="005B3704"/>
    <w:rsid w:val="005D4E53"/>
    <w:rsid w:val="00606C4C"/>
    <w:rsid w:val="0064052A"/>
    <w:rsid w:val="00683123"/>
    <w:rsid w:val="00697223"/>
    <w:rsid w:val="007900B5"/>
    <w:rsid w:val="00797D01"/>
    <w:rsid w:val="007D4299"/>
    <w:rsid w:val="00812E09"/>
    <w:rsid w:val="0082309C"/>
    <w:rsid w:val="00862D84"/>
    <w:rsid w:val="00886344"/>
    <w:rsid w:val="008F46C6"/>
    <w:rsid w:val="009319B0"/>
    <w:rsid w:val="0096428D"/>
    <w:rsid w:val="00A553FC"/>
    <w:rsid w:val="00AB31E5"/>
    <w:rsid w:val="00BF4428"/>
    <w:rsid w:val="00C0528D"/>
    <w:rsid w:val="00C46124"/>
    <w:rsid w:val="00C87CB1"/>
    <w:rsid w:val="00CB71B0"/>
    <w:rsid w:val="00D94987"/>
    <w:rsid w:val="00DB627B"/>
    <w:rsid w:val="00E60AF1"/>
    <w:rsid w:val="00E66154"/>
    <w:rsid w:val="00E82CD8"/>
    <w:rsid w:val="00E91723"/>
    <w:rsid w:val="00F46A6B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114.cn/0c/29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114.cn/0c/41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张红霞</dc:creator>
  <cp:keywords/>
  <dc:description/>
  <cp:lastModifiedBy>微软用户</cp:lastModifiedBy>
  <cp:revision>9</cp:revision>
  <dcterms:created xsi:type="dcterms:W3CDTF">2017-01-17T03:58:00Z</dcterms:created>
  <dcterms:modified xsi:type="dcterms:W3CDTF">2018-09-17T04:55:00Z</dcterms:modified>
</cp:coreProperties>
</file>